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Trustees Personnel &amp; Policy Meeting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Tuesday, October 8, 2024 at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6:30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PM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Room D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104775</wp:posOffset>
                </wp:positionV>
                <wp:extent cx="6105525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104775</wp:posOffset>
                </wp:positionV>
                <wp:extent cx="6105525" cy="381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The library is an important community partner that disseminates knowledge for the benefit of society and provides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quality programs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all ages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thus bringing people together, fostering creativity, and encouraging lifelong learning.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Our Vision: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We strive to be a library that is integral to the lives of all residents, by providing an inviting center which offers a diverse spectrum of innovative services, materials, and programming 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enrich, transform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empower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our community.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  <w:tab/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</w:t>
        <w:tab/>
        <w:t xml:space="preserve">Opportunity for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       Closed Session</w:t>
      </w:r>
    </w:p>
    <w:p w:rsidR="00000000" w:rsidDel="00000000" w:rsidP="00000000" w:rsidRDefault="00000000" w:rsidRPr="00000000" w14:paraId="00000019">
      <w:pPr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Motion to go into closed session for the purpose of under Illinois State Statute</w:t>
      </w:r>
    </w:p>
    <w:p w:rsidR="00000000" w:rsidDel="00000000" w:rsidP="00000000" w:rsidRDefault="00000000" w:rsidRPr="00000000" w14:paraId="0000001A">
      <w:pPr>
        <w:ind w:firstLine="72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(5ILCS120) Open Meetings Acts.  Closed Session for reasons of appointment,</w:t>
      </w:r>
    </w:p>
    <w:p w:rsidR="00000000" w:rsidDel="00000000" w:rsidP="00000000" w:rsidRDefault="00000000" w:rsidRPr="00000000" w14:paraId="0000001B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Employment, and compensation of specific employees of a public body.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       Other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 </w:t>
        <w:tab/>
        <w:t xml:space="preserve">Final Thoughts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</w:t>
        <w:tab/>
        <w:t xml:space="preserve">Adjournment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jGUnRrs7AqTbs5qZ5QXEEfTRw==">CgMxLjAyDmgueHZiOTlqY25sZTY3Mg5oLmQyY2N6a3pnN2FlcTIJaC4xZm9iOXRlOAByITE0M0t0bkZRWjhJQlBuM2MxY1pDRmpfSEpaa2VIby1MbQ==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