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Board of Trustees Special Meeting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Wednesday, October 9, 2024 at 5:30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Room D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6126480" cy="381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: The library is an important community partner that disseminates knowledge for the benefit of society and provides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quality programs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all ages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thus bringing people together, fostering creativity, and encouraging lifelong learning.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Our Vision: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We strive to be a library that is integral to the lives of all residents, by providing an inviting center which offers a diverse spectrum of innovative services, materials, and programming to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enrich, transform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empower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our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2.</w:t>
        <w:tab/>
        <w:t xml:space="preserve">Roll Call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3.</w:t>
        <w:tab/>
        <w:t xml:space="preserve">Pledge of Allegiance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4.        First American Bank: Transfers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(Marlene Garcia-Bell)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5.        Discuss Renovation Budget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</w:t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6.       Technology Plan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7.</w:t>
        <w:tab/>
        <w:t xml:space="preserve">Tax Levy</w:t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8.</w:t>
        <w:tab/>
        <w:t xml:space="preserve"> Other</w:t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9.</w:t>
        <w:tab/>
        <w:t xml:space="preserve">Adjournment</w:t>
      </w:r>
    </w:p>
    <w:sectPr>
      <w:headerReference r:id="rId10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zDgnwTNoGlIrzlpQSHtr1RebA==">CgMxLjAyDmgueHZiOTlqY25sZTY3Mg5oLmQyY2N6a3pnN2FlcTgAciExLU95YlZlOTh4VjZEUHJDaEI3LVNiUy1SeXRSX2FIVEk=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